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10" w:rsidRDefault="304EDE5F" w:rsidP="304EDE5F">
      <w:pPr>
        <w:pStyle w:val="Heading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04EDE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Baltijos šalių kroso komandinis čempionatas ir</w:t>
      </w:r>
    </w:p>
    <w:p w:rsidR="00CA4810" w:rsidRDefault="304EDE5F" w:rsidP="304EDE5F">
      <w:pPr>
        <w:pStyle w:val="Heading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04EDE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Atviras</w:t>
      </w:r>
      <w:r w:rsidR="00C4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is</w:t>
      </w:r>
      <w:r w:rsidRPr="304EDE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Lietuvos lengvosios atletikos kroso taurės VI - asis  etapas</w:t>
      </w:r>
    </w:p>
    <w:p w:rsidR="00CA4810" w:rsidRDefault="00CA4810" w:rsidP="0588E5B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4810" w:rsidRDefault="00CA4810" w:rsidP="0588E5BA">
      <w:pPr>
        <w:jc w:val="both"/>
      </w:pP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N U O S T A T A I</w:t>
      </w:r>
    </w:p>
    <w:p w:rsidR="00CA4810" w:rsidRDefault="00CA4810"/>
    <w:p w:rsidR="00CA4810" w:rsidRDefault="00CA4810"/>
    <w:p w:rsidR="00CA4810" w:rsidRDefault="0588E5BA"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I. TIKSLAI  IR UŽDAVINIAI</w:t>
      </w:r>
    </w:p>
    <w:p w:rsidR="00CA4810" w:rsidRDefault="0588E5BA"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Varžybų tikslai:</w:t>
      </w:r>
    </w:p>
    <w:p w:rsidR="00CA4810" w:rsidRDefault="0588E5BA">
      <w:r w:rsidRPr="0588E5BA">
        <w:rPr>
          <w:rFonts w:ascii="Times New Roman" w:eastAsia="Times New Roman" w:hAnsi="Times New Roman" w:cs="Times New Roman"/>
          <w:sz w:val="24"/>
          <w:szCs w:val="24"/>
        </w:rPr>
        <w:t>- puoselėti jaunimo susidomėjimą lengvąją atletiką;</w:t>
      </w:r>
    </w:p>
    <w:p w:rsidR="00CA4810" w:rsidRDefault="0588E5BA">
      <w:r w:rsidRPr="0588E5BA">
        <w:rPr>
          <w:rFonts w:ascii="Times New Roman" w:eastAsia="Times New Roman" w:hAnsi="Times New Roman" w:cs="Times New Roman"/>
          <w:sz w:val="24"/>
          <w:szCs w:val="24"/>
        </w:rPr>
        <w:t>- populiarinti bėgimą raižyta vietove (krosą).</w:t>
      </w:r>
    </w:p>
    <w:p w:rsidR="00CA4810" w:rsidRDefault="0588E5BA"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Varžybų uždaviniai:</w:t>
      </w:r>
    </w:p>
    <w:p w:rsidR="00CA4810" w:rsidRDefault="0588E5BA">
      <w:r w:rsidRPr="0588E5BA">
        <w:rPr>
          <w:rFonts w:ascii="Times New Roman" w:eastAsia="Times New Roman" w:hAnsi="Times New Roman" w:cs="Times New Roman"/>
          <w:sz w:val="24"/>
          <w:szCs w:val="24"/>
        </w:rPr>
        <w:t>- didinti aktyviai sportuojančių mokinių skaičių;</w:t>
      </w:r>
    </w:p>
    <w:p w:rsidR="00CA4810" w:rsidRDefault="0588E5BA">
      <w:r w:rsidRPr="0588E5BA">
        <w:rPr>
          <w:rFonts w:ascii="Times New Roman" w:eastAsia="Times New Roman" w:hAnsi="Times New Roman" w:cs="Times New Roman"/>
          <w:sz w:val="24"/>
          <w:szCs w:val="24"/>
        </w:rPr>
        <w:t>- kelti jaunųjų sportininkų meistriškumą;</w:t>
      </w:r>
    </w:p>
    <w:p w:rsidR="00CA4810" w:rsidRDefault="0588E5BA">
      <w:r w:rsidRPr="0588E5BA">
        <w:rPr>
          <w:rFonts w:ascii="Times New Roman" w:eastAsia="Times New Roman" w:hAnsi="Times New Roman" w:cs="Times New Roman"/>
          <w:sz w:val="24"/>
          <w:szCs w:val="24"/>
        </w:rPr>
        <w:t>- išsiaiškinti pajėgiausius bėgikus Lietuvoje ir Baltijos šalyse ;</w:t>
      </w:r>
    </w:p>
    <w:p w:rsidR="00CA4810" w:rsidRDefault="0588E5BA">
      <w:r w:rsidRPr="0588E5BA">
        <w:rPr>
          <w:rFonts w:ascii="Times New Roman" w:eastAsia="Times New Roman" w:hAnsi="Times New Roman" w:cs="Times New Roman"/>
          <w:sz w:val="24"/>
          <w:szCs w:val="24"/>
        </w:rPr>
        <w:t>- skatinti sveiką ir aktyvų gyvenimo būdą;</w:t>
      </w:r>
    </w:p>
    <w:p w:rsidR="00CA4810" w:rsidRDefault="0588E5BA">
      <w:r w:rsidRPr="0588E5BA">
        <w:rPr>
          <w:rFonts w:ascii="Times New Roman" w:eastAsia="Times New Roman" w:hAnsi="Times New Roman" w:cs="Times New Roman"/>
          <w:sz w:val="24"/>
          <w:szCs w:val="24"/>
        </w:rPr>
        <w:t>- mokyti jaunimą kilnaus elgesio.</w:t>
      </w:r>
    </w:p>
    <w:p w:rsidR="00CA4810" w:rsidRDefault="00CA4810"/>
    <w:p w:rsidR="00CA4810" w:rsidRDefault="00CA4810"/>
    <w:p w:rsidR="00CA4810" w:rsidRDefault="0588E5BA"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II. VIETA IR LAIKAS</w:t>
      </w:r>
    </w:p>
    <w:p w:rsidR="00C83611" w:rsidRPr="00C75CEB" w:rsidRDefault="304EDE5F" w:rsidP="00C83611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CEB">
        <w:rPr>
          <w:rFonts w:ascii="Times New Roman" w:eastAsia="Times New Roman" w:hAnsi="Times New Roman" w:cs="Times New Roman"/>
          <w:b/>
          <w:sz w:val="24"/>
          <w:szCs w:val="24"/>
        </w:rPr>
        <w:t xml:space="preserve">Varžybos vykdomos </w:t>
      </w:r>
      <w:r w:rsidR="00C75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 m. spalio 30 dieną Palangoje, </w:t>
      </w:r>
      <w:r w:rsidRPr="304ED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Botanikos parke prie Rotondos</w:t>
      </w:r>
      <w:r w:rsidR="00C75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įėjimas į parką iš viešbučio ,,Palangos Vėtra‘‘ pusės</w:t>
      </w:r>
      <w:r w:rsidR="00C83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adresas,</w:t>
      </w:r>
      <w:r w:rsidR="00DD4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S.Dariaus ir S.Girėno  ir S.Daukanto </w:t>
      </w:r>
      <w:r w:rsidR="00134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35, </w:t>
      </w:r>
      <w:r w:rsidR="00DD48C2">
        <w:rPr>
          <w:rFonts w:ascii="Times New Roman" w:eastAsia="Times New Roman" w:hAnsi="Times New Roman" w:cs="Times New Roman"/>
          <w:b/>
          <w:bCs/>
          <w:sz w:val="24"/>
          <w:szCs w:val="24"/>
        </w:rPr>
        <w:t>gatvių sankryža</w:t>
      </w:r>
      <w:r w:rsidR="00C75CEB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C83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04EDE5F">
        <w:rPr>
          <w:rFonts w:ascii="Times New Roman" w:eastAsia="Times New Roman" w:hAnsi="Times New Roman" w:cs="Times New Roman"/>
          <w:b/>
          <w:bCs/>
          <w:sz w:val="24"/>
          <w:szCs w:val="24"/>
        </w:rPr>
        <w:t>Komandos</w:t>
      </w:r>
      <w:r w:rsidR="00617373">
        <w:rPr>
          <w:rFonts w:ascii="Times New Roman" w:eastAsia="Times New Roman" w:hAnsi="Times New Roman" w:cs="Times New Roman"/>
          <w:b/>
          <w:bCs/>
          <w:sz w:val="24"/>
          <w:szCs w:val="24"/>
        </w:rPr>
        <w:t>, varžybų dalyviai</w:t>
      </w:r>
      <w:r w:rsidRPr="304ED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atvyksta ir registruo</w:t>
      </w:r>
      <w:r w:rsidR="00377C72">
        <w:rPr>
          <w:rFonts w:ascii="Times New Roman" w:eastAsia="Times New Roman" w:hAnsi="Times New Roman" w:cs="Times New Roman"/>
          <w:b/>
          <w:bCs/>
          <w:sz w:val="24"/>
          <w:szCs w:val="24"/>
        </w:rPr>
        <w:t>jasi varžybų vietoje</w:t>
      </w:r>
      <w:r w:rsidR="00617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iki 12</w:t>
      </w:r>
      <w:r w:rsidR="00C75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val.  </w:t>
      </w:r>
      <w:r w:rsidR="00C83611" w:rsidRPr="00C75CEB">
        <w:rPr>
          <w:rFonts w:ascii="Times New Roman" w:eastAsia="Times New Roman" w:hAnsi="Times New Roman" w:cs="Times New Roman"/>
          <w:b/>
          <w:sz w:val="24"/>
          <w:szCs w:val="24"/>
        </w:rPr>
        <w:t xml:space="preserve">Varžybų pradžia </w:t>
      </w:r>
      <w:r w:rsidR="00C83611" w:rsidRPr="00C75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13.00</w:t>
      </w:r>
      <w:r w:rsidR="00C83611" w:rsidRPr="304ED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val.</w:t>
      </w:r>
    </w:p>
    <w:p w:rsidR="00CA4810" w:rsidRPr="00C75CEB" w:rsidRDefault="00C75CEB" w:rsidP="00C75CEB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83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CA4810" w:rsidRDefault="00CA4810"/>
    <w:p w:rsidR="00CA4810" w:rsidRDefault="00CA4810"/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III. VARŽYBŲ VYKDYMAS IR VADOVAVIMAS</w:t>
      </w:r>
    </w:p>
    <w:p w:rsidR="00CA4810" w:rsidRDefault="0588E5BA" w:rsidP="0588E5BA">
      <w:pPr>
        <w:ind w:firstLine="709"/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>Varžy</w:t>
      </w:r>
      <w:r w:rsidR="00A45FC0">
        <w:rPr>
          <w:rFonts w:ascii="Times New Roman" w:eastAsia="Times New Roman" w:hAnsi="Times New Roman" w:cs="Times New Roman"/>
          <w:sz w:val="24"/>
          <w:szCs w:val="24"/>
        </w:rPr>
        <w:t>bas vykdo</w:t>
      </w: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 Lietuvos lengvosios atletikos federacija, </w:t>
      </w:r>
      <w:r w:rsidR="00A45FC0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savivaldybė, Palangos miesto sporto centras, </w:t>
      </w: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Klaipėdos lengvosios atletikos sporto klubas „Nikė“. </w:t>
      </w:r>
    </w:p>
    <w:p w:rsidR="00CA4810" w:rsidRDefault="00CA4810" w:rsidP="0588E5BA">
      <w:pPr>
        <w:jc w:val="both"/>
      </w:pPr>
    </w:p>
    <w:p w:rsidR="00CA4810" w:rsidRDefault="0588E5BA">
      <w:r w:rsidRPr="0588E5BA">
        <w:rPr>
          <w:rFonts w:ascii="Times New Roman" w:eastAsia="Times New Roman" w:hAnsi="Times New Roman" w:cs="Times New Roman"/>
          <w:sz w:val="24"/>
          <w:szCs w:val="24"/>
        </w:rPr>
        <w:t>IV. VARŽYBŲ DALYVIAI</w:t>
      </w:r>
    </w:p>
    <w:p w:rsidR="00CA4810" w:rsidRDefault="0588E5BA" w:rsidP="0588E5BA">
      <w:pPr>
        <w:tabs>
          <w:tab w:val="left" w:pos="709"/>
          <w:tab w:val="center" w:pos="4153"/>
          <w:tab w:val="right" w:pos="8306"/>
        </w:tabs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Dalyvauja: </w:t>
      </w:r>
      <w:r w:rsidR="00B3134E">
        <w:tab/>
      </w: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miestų, rajonų, savivaldybių ir sporto klubų komandų sportininkai. Paraiškas  pateikia komandų vadovai. 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Dalyviai privalo turėti gydytojo leidimus arba paraiškas su gydytojo viza.</w:t>
      </w:r>
    </w:p>
    <w:p w:rsidR="00CA4810" w:rsidRDefault="0588E5BA" w:rsidP="0588E5BA">
      <w:pPr>
        <w:ind w:firstLine="709"/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>Paraiškas siųs</w:t>
      </w:r>
      <w:r w:rsidR="00CD2757">
        <w:rPr>
          <w:rFonts w:ascii="Times New Roman" w:eastAsia="Times New Roman" w:hAnsi="Times New Roman" w:cs="Times New Roman"/>
          <w:sz w:val="24"/>
          <w:szCs w:val="24"/>
        </w:rPr>
        <w:t>ti (kartu ir estafečių) iki 2021 10</w:t>
      </w:r>
      <w:r w:rsidR="00377C72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617373">
        <w:rPr>
          <w:rFonts w:ascii="Times New Roman" w:eastAsia="Times New Roman" w:hAnsi="Times New Roman" w:cs="Times New Roman"/>
          <w:sz w:val="24"/>
          <w:szCs w:val="24"/>
        </w:rPr>
        <w:t xml:space="preserve"> d. 18</w:t>
      </w: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.00 val. </w:t>
      </w:r>
    </w:p>
    <w:p w:rsidR="00CA4810" w:rsidRDefault="0588E5BA" w:rsidP="0588E5BA">
      <w:pPr>
        <w:ind w:firstLine="709"/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el. paštu </w:t>
      </w:r>
      <w:hyperlink r:id="rId4">
        <w:r w:rsidRPr="0588E5BA">
          <w:rPr>
            <w:rStyle w:val="Hyperlink"/>
            <w:rFonts w:ascii="Arial" w:eastAsia="Arial" w:hAnsi="Arial" w:cs="Arial"/>
          </w:rPr>
          <w:t>drasutisbarkauskas@gmail.com</w:t>
        </w:r>
      </w:hyperlink>
      <w:r w:rsidRPr="0588E5BA">
        <w:rPr>
          <w:rFonts w:ascii="Arial" w:eastAsia="Arial" w:hAnsi="Arial" w:cs="Arial"/>
          <w:color w:val="1F497D"/>
          <w:u w:val="single"/>
        </w:rPr>
        <w:t>.</w:t>
      </w:r>
      <w:r w:rsidRPr="0588E5BA">
        <w:rPr>
          <w:rFonts w:ascii="Arial" w:eastAsia="Arial" w:hAnsi="Arial" w:cs="Arial"/>
        </w:rPr>
        <w:t>Informacija : tel  8 684 47506</w:t>
      </w:r>
    </w:p>
    <w:p w:rsidR="00CA4810" w:rsidRDefault="0588E5BA" w:rsidP="0588E5BA">
      <w:pPr>
        <w:tabs>
          <w:tab w:val="left" w:pos="709"/>
          <w:tab w:val="center" w:pos="4153"/>
          <w:tab w:val="right" w:pos="8306"/>
        </w:tabs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Informacija dėl visų Lietuvos taurės etapų tel.: 867421902, ir el.paštu  </w:t>
      </w:r>
      <w:hyperlink r:id="rId5">
        <w:r w:rsidRPr="0588E5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spartanas79@gmail.com</w:t>
        </w:r>
      </w:hyperlink>
    </w:p>
    <w:p w:rsidR="00CA4810" w:rsidRDefault="00CA4810" w:rsidP="0588E5BA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6"/>
        <w:gridCol w:w="1078"/>
        <w:gridCol w:w="269"/>
        <w:gridCol w:w="3489"/>
        <w:gridCol w:w="1078"/>
      </w:tblGrid>
      <w:tr w:rsidR="0588E5BA" w:rsidTr="0588E5BA"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588E5BA" w:rsidRDefault="00082E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moterys (g. 2001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ir vyresnės)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0082E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000 m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588E5BA" w:rsidRDefault="0588E5BA" w:rsidP="0588E5BA">
            <w:pPr>
              <w:tabs>
                <w:tab w:val="left" w:pos="1296"/>
                <w:tab w:val="center" w:pos="4153"/>
                <w:tab w:val="right" w:pos="8306"/>
              </w:tabs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0617373" w:rsidP="0588E5BA">
            <w:pPr>
              <w:tabs>
                <w:tab w:val="left" w:pos="1296"/>
                <w:tab w:val="center" w:pos="4153"/>
                <w:tab w:val="right" w:pos="830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vyrai (g. 2001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ir vyresni)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0603D18" w:rsidP="0588E5BA">
            <w:pPr>
              <w:tabs>
                <w:tab w:val="left" w:pos="3008"/>
                <w:tab w:val="center" w:pos="4153"/>
                <w:tab w:val="right" w:pos="830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000 m</w:t>
            </w:r>
          </w:p>
        </w:tc>
      </w:tr>
      <w:tr w:rsidR="0588E5BA" w:rsidTr="0588E5BA"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588E5BA" w:rsidRDefault="00082E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jaunuolės (g. 2002-2003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0082E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000 m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588E5BA" w:rsidRDefault="0588E5BA" w:rsidP="0588E5BA">
            <w:pPr>
              <w:tabs>
                <w:tab w:val="left" w:pos="1296"/>
                <w:tab w:val="center" w:pos="4153"/>
                <w:tab w:val="right" w:pos="8306"/>
              </w:tabs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03552D8" w:rsidP="0588E5BA">
            <w:pPr>
              <w:tabs>
                <w:tab w:val="left" w:pos="1296"/>
                <w:tab w:val="center" w:pos="4153"/>
                <w:tab w:val="right" w:pos="830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 (g. 2002-2003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0603D18" w:rsidP="0588E5BA">
            <w:pPr>
              <w:tabs>
                <w:tab w:val="left" w:pos="3008"/>
                <w:tab w:val="center" w:pos="4153"/>
                <w:tab w:val="right" w:pos="830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000 m</w:t>
            </w:r>
          </w:p>
        </w:tc>
      </w:tr>
      <w:tr w:rsidR="0588E5BA" w:rsidTr="0588E5BA"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588E5BA" w:rsidRDefault="006173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jaunės (g. 2004-2005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588E5BA">
            <w:r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3000 m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588E5BA" w:rsidRDefault="0588E5BA" w:rsidP="0588E5BA">
            <w:pPr>
              <w:tabs>
                <w:tab w:val="left" w:pos="1296"/>
                <w:tab w:val="center" w:pos="4153"/>
                <w:tab w:val="right" w:pos="8306"/>
              </w:tabs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03552D8" w:rsidP="0588E5BA">
            <w:pPr>
              <w:tabs>
                <w:tab w:val="left" w:pos="1296"/>
                <w:tab w:val="center" w:pos="4153"/>
                <w:tab w:val="right" w:pos="830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jauniai (g. 2004-2005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0603D18" w:rsidP="0588E5BA">
            <w:pPr>
              <w:tabs>
                <w:tab w:val="left" w:pos="3008"/>
                <w:tab w:val="center" w:pos="4153"/>
                <w:tab w:val="right" w:pos="830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000 m</w:t>
            </w:r>
          </w:p>
        </w:tc>
      </w:tr>
      <w:tr w:rsidR="0588E5BA" w:rsidTr="0588E5BA"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588E5BA" w:rsidRDefault="006173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jaunutės (g. 2006-2007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588E5BA">
            <w:r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2000 m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588E5BA" w:rsidRDefault="0588E5BA" w:rsidP="0588E5BA">
            <w:pPr>
              <w:tabs>
                <w:tab w:val="left" w:pos="1296"/>
                <w:tab w:val="center" w:pos="4153"/>
                <w:tab w:val="right" w:pos="8306"/>
              </w:tabs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588E5BA" w:rsidRDefault="003552D8" w:rsidP="0588E5BA">
            <w:pPr>
              <w:tabs>
                <w:tab w:val="left" w:pos="1296"/>
                <w:tab w:val="center" w:pos="4153"/>
                <w:tab w:val="right" w:pos="830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jaunučiai (g. 2006-2007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588E5BA" w:rsidP="0588E5BA">
            <w:pPr>
              <w:tabs>
                <w:tab w:val="left" w:pos="3008"/>
                <w:tab w:val="center" w:pos="4153"/>
                <w:tab w:val="right" w:pos="8306"/>
              </w:tabs>
            </w:pPr>
            <w:r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2000 m</w:t>
            </w:r>
          </w:p>
        </w:tc>
      </w:tr>
      <w:tr w:rsidR="0588E5BA" w:rsidTr="0588E5BA"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588E5BA" w:rsidRDefault="006173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mergaitės (g. 2008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jaunesnės)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588E5BA">
            <w:r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1000 m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588E5BA" w:rsidRDefault="0588E5BA" w:rsidP="0588E5BA">
            <w:pPr>
              <w:tabs>
                <w:tab w:val="left" w:pos="1296"/>
                <w:tab w:val="center" w:pos="4153"/>
                <w:tab w:val="right" w:pos="8306"/>
              </w:tabs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03552D8" w:rsidP="0588E5BA">
            <w:pPr>
              <w:tabs>
                <w:tab w:val="left" w:pos="1296"/>
                <w:tab w:val="center" w:pos="4153"/>
                <w:tab w:val="right" w:pos="8306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berniukai (g. 2008</w:t>
            </w:r>
            <w:r w:rsidR="0588E5BA"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ir jaunesni)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588E5BA" w:rsidRDefault="0588E5BA" w:rsidP="0588E5BA">
            <w:pPr>
              <w:tabs>
                <w:tab w:val="left" w:pos="3008"/>
                <w:tab w:val="center" w:pos="4153"/>
                <w:tab w:val="right" w:pos="8306"/>
              </w:tabs>
            </w:pPr>
            <w:r w:rsidRPr="0588E5BA">
              <w:rPr>
                <w:rFonts w:ascii="Times New Roman" w:eastAsia="Times New Roman" w:hAnsi="Times New Roman" w:cs="Times New Roman"/>
                <w:sz w:val="24"/>
                <w:szCs w:val="24"/>
              </w:rPr>
              <w:t>1000 m</w:t>
            </w:r>
          </w:p>
        </w:tc>
      </w:tr>
    </w:tbl>
    <w:p w:rsidR="00CA4810" w:rsidRDefault="00CA4810" w:rsidP="0588E5BA">
      <w:pPr>
        <w:jc w:val="both"/>
      </w:pP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Kroso estafetė 4x500m:</w:t>
      </w: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500 m (mergaitė) + 500 m (berniukas) + 500 m (jaunutė) + 500 m (jaunutis) </w:t>
      </w: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Kroso estafetė 4x500m:</w:t>
      </w: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>500 m (jaunė) + 500 m (jaunis) + 500 m (jaunuolė) + 500 m (jaunuolis)</w:t>
      </w:r>
    </w:p>
    <w:p w:rsidR="00CA4810" w:rsidRDefault="00CA4810" w:rsidP="0588E5BA">
      <w:pPr>
        <w:jc w:val="both"/>
      </w:pP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Visus Lietuvos kroso taurės etapus rasite Lietuvos lengvosios atletikos federacijos 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kalendoriuje</w:t>
      </w:r>
      <w:r w:rsidRPr="0588E5BA">
        <w:rPr>
          <w:rFonts w:ascii="Times New Roman" w:eastAsia="Times New Roman" w:hAnsi="Times New Roman" w:cs="Times New Roman"/>
          <w:sz w:val="24"/>
          <w:szCs w:val="24"/>
        </w:rPr>
        <w:t>. Kituose kroso taurės etapuose bus vykdomi skirtingi nuotoliai.</w:t>
      </w:r>
    </w:p>
    <w:p w:rsidR="00CA4810" w:rsidRDefault="0588E5BA" w:rsidP="0588E5B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Komandų grupės:</w:t>
      </w:r>
      <w:r w:rsidR="00B3134E">
        <w:tab/>
      </w: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>Miestai: Vilnius, Kaunas, Panevėžys, Šiauliai, Klaipėda, Alytus;</w:t>
      </w: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Rajonai: rajonai, savivaldybės ir kiti miestai. </w:t>
      </w: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Varžybos komandinės, komandai dalyvių skaičius 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neribojamas</w:t>
      </w:r>
      <w:r w:rsidRPr="0588E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Komandinė užskaita (vaikai, jaunučiai, jauniai, jaunimas, suaugę): miestų grupėje 21 geriausias rezultatas, rajonų grupėje 11 geriausių rezultatų.  </w:t>
      </w:r>
      <w:r w:rsidRPr="0588E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Paralelinė įskaita:sportininkai išvykę į sporto gimnazijas (Šiauliai, Panevėžys) pelno įskaitinius taškus miestų komandoms kur mokosi ir rajonų komandoms, iš kurių išvyko. </w:t>
      </w:r>
      <w:bookmarkStart w:id="0" w:name="_GoBack"/>
      <w:bookmarkEnd w:id="0"/>
    </w:p>
    <w:p w:rsidR="00CA4810" w:rsidRDefault="00CA4810" w:rsidP="0588E5BA">
      <w:pPr>
        <w:jc w:val="both"/>
      </w:pP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lastRenderedPageBreak/>
        <w:t>Galutinėje etap</w:t>
      </w:r>
      <w:r w:rsidR="004A44BF">
        <w:rPr>
          <w:rFonts w:ascii="Times New Roman" w:eastAsia="Times New Roman" w:hAnsi="Times New Roman" w:cs="Times New Roman"/>
          <w:sz w:val="24"/>
          <w:szCs w:val="24"/>
        </w:rPr>
        <w:t>ų įskaitoję bus sumuojami šešių</w:t>
      </w:r>
      <w:r w:rsidR="009E5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588E5BA">
        <w:rPr>
          <w:rFonts w:ascii="Times New Roman" w:eastAsia="Times New Roman" w:hAnsi="Times New Roman" w:cs="Times New Roman"/>
          <w:sz w:val="24"/>
          <w:szCs w:val="24"/>
        </w:rPr>
        <w:t>etapų re</w:t>
      </w:r>
      <w:r w:rsidR="00D85A12">
        <w:rPr>
          <w:rFonts w:ascii="Times New Roman" w:eastAsia="Times New Roman" w:hAnsi="Times New Roman" w:cs="Times New Roman"/>
          <w:sz w:val="24"/>
          <w:szCs w:val="24"/>
        </w:rPr>
        <w:t xml:space="preserve">zultatai penkiose amžiaus </w:t>
      </w:r>
      <w:proofErr w:type="gramStart"/>
      <w:r w:rsidR="00D85A12">
        <w:rPr>
          <w:rFonts w:ascii="Times New Roman" w:eastAsia="Times New Roman" w:hAnsi="Times New Roman" w:cs="Times New Roman"/>
          <w:sz w:val="24"/>
          <w:szCs w:val="24"/>
        </w:rPr>
        <w:t>( 2008</w:t>
      </w:r>
      <w:proofErr w:type="gramEnd"/>
      <w:r w:rsidR="00D85A12">
        <w:rPr>
          <w:rFonts w:ascii="Times New Roman" w:eastAsia="Times New Roman" w:hAnsi="Times New Roman" w:cs="Times New Roman"/>
          <w:sz w:val="24"/>
          <w:szCs w:val="24"/>
        </w:rPr>
        <w:t xml:space="preserve"> m. ir  jaunesnės(-i), g. 2006-2007 m., g. 2004-2005 m., g. 2002-2003 m., g. 2001</w:t>
      </w: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 m ir vyresnės(-i) ) grupėse.</w:t>
      </w:r>
      <w:r w:rsidRPr="0588E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Varžybų </w:t>
      </w:r>
      <w:proofErr w:type="gramStart"/>
      <w:r w:rsidRPr="0588E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nugalėtojai  bei</w:t>
      </w:r>
      <w:proofErr w:type="gramEnd"/>
      <w:r w:rsidRPr="0588E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prizininkai, ir komanda nugalėtoja bei prizininkės nustatomi pagal didž</w:t>
      </w:r>
      <w:r w:rsidR="004A44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iausią taškų sumą, surinktą penkiuose</w:t>
      </w:r>
      <w:r w:rsidRPr="0588E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etapuose. Surinkus vienodą taškų sumą, aukštesnė vieta skiriama sportininkui ir/arba komandai iškovojusiems aukštesnę vietą </w:t>
      </w:r>
      <w:r w:rsidRPr="0588E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Lietuvos kroso taurės VI etape</w:t>
      </w:r>
      <w:r w:rsidRPr="0588E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4810" w:rsidRDefault="00CA4810" w:rsidP="0588E5BA">
      <w:pPr>
        <w:jc w:val="both"/>
      </w:pP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Varžybų individuali ir komandinė taškų sistema: taškai skaičiuojami už 1-16 vietas (1 v.-22 tšk., 2 v.-18 tšk., 3 v.-15 tšk., 4 v.-13 tšk., 5 v.-12 tšk…........,16 v.-1tšk.). </w:t>
      </w:r>
    </w:p>
    <w:p w:rsidR="00CA4810" w:rsidRDefault="00CA4810" w:rsidP="0588E5BA">
      <w:pPr>
        <w:jc w:val="both"/>
      </w:pP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V. APDOVANOJIMAS</w:t>
      </w:r>
    </w:p>
    <w:p w:rsidR="00CA4810" w:rsidRDefault="0588E5BA" w:rsidP="0588E5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t xml:space="preserve">Atskirų amžiaus grupių nugalėtojai ir prizininkai apdovanojami Lietuvos kroso taurės medaliais, diplomais apdovanojami vaikų amžiaus grupės 1-10 vietos,  jaunučių - 1-8 vietos, jaunių - 1-6 vietos,  jaunimo - 1-6 vietos, suaugusių - 1-3 vietos laimėtojai. Komandos nugalėtojos ir prizininkės apdovanojamos atitinkamo laipsnio diplomais. </w:t>
      </w:r>
    </w:p>
    <w:p w:rsidR="001162E3" w:rsidRDefault="001162E3" w:rsidP="001162E3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Atvirame Lietuvos lengvosios atletikos kroso taurės VI etape</w:t>
      </w:r>
      <w:r w:rsidR="00B31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atskirų amžiaus grupių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užsienio</w:t>
      </w:r>
      <w:r w:rsidR="00B31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valstybių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sportininkai</w:t>
      </w:r>
      <w:r w:rsidR="0062137E">
        <w:rPr>
          <w:rFonts w:ascii="Times New Roman" w:eastAsia="Times New Roman" w:hAnsi="Times New Roman" w:cs="Times New Roman"/>
          <w:b/>
          <w:bCs/>
          <w:sz w:val="24"/>
          <w:szCs w:val="24"/>
        </w:rPr>
        <w:t>, kurie nedalyvauja Baltijos šalių komandiniame kroso čempionate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137E">
        <w:rPr>
          <w:rFonts w:ascii="Times New Roman" w:eastAsia="Times New Roman" w:hAnsi="Times New Roman" w:cs="Times New Roman"/>
          <w:b/>
          <w:bCs/>
          <w:sz w:val="24"/>
          <w:szCs w:val="24"/>
        </w:rPr>
        <w:t>pretenduoja į VI-</w:t>
      </w:r>
      <w:proofErr w:type="gramStart"/>
      <w:r w:rsidR="0062137E">
        <w:rPr>
          <w:rFonts w:ascii="Times New Roman" w:eastAsia="Times New Roman" w:hAnsi="Times New Roman" w:cs="Times New Roman"/>
          <w:b/>
          <w:bCs/>
          <w:sz w:val="24"/>
          <w:szCs w:val="24"/>
        </w:rPr>
        <w:t>ojo  etapo</w:t>
      </w:r>
      <w:proofErr w:type="gramEnd"/>
      <w:r w:rsidR="0062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varžybų apdovanojimus, </w:t>
      </w:r>
      <w:r w:rsidR="00110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kartu su Lietuvos sportininkais. </w:t>
      </w:r>
      <w:r w:rsidR="0062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Lietuvos sportininkai dalyvausiantys Baltijos šalių komandiniame kroso čempionate </w:t>
      </w:r>
      <w:r w:rsidR="00110835">
        <w:rPr>
          <w:rFonts w:ascii="Times New Roman" w:eastAsia="Times New Roman" w:hAnsi="Times New Roman" w:cs="Times New Roman"/>
          <w:b/>
          <w:bCs/>
          <w:sz w:val="24"/>
          <w:szCs w:val="24"/>
        </w:rPr>
        <w:t>taip pat pretenduoja į atvirojo Lietuvos kroso taurės VI etapo apdovanojimus.</w:t>
      </w:r>
    </w:p>
    <w:p w:rsidR="00CA4810" w:rsidRDefault="001162E3" w:rsidP="001162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        </w:t>
      </w:r>
      <w:r w:rsidR="0588E5BA" w:rsidRPr="0588E5BA">
        <w:rPr>
          <w:rFonts w:ascii="Times New Roman" w:eastAsia="Times New Roman" w:hAnsi="Times New Roman" w:cs="Times New Roman"/>
          <w:sz w:val="24"/>
          <w:szCs w:val="24"/>
        </w:rPr>
        <w:t xml:space="preserve">Galutinėje Lietuvos kroso taurės etapų įskaitoje vaikų, jaunučių, jaunių, jaunimo ir </w:t>
      </w:r>
      <w:proofErr w:type="gramStart"/>
      <w:r w:rsidR="0588E5BA" w:rsidRPr="0588E5BA">
        <w:rPr>
          <w:rFonts w:ascii="Times New Roman" w:eastAsia="Times New Roman" w:hAnsi="Times New Roman" w:cs="Times New Roman"/>
          <w:sz w:val="24"/>
          <w:szCs w:val="24"/>
        </w:rPr>
        <w:t>suaugusiųjų  amžiaus</w:t>
      </w:r>
      <w:proofErr w:type="gramEnd"/>
      <w:r w:rsidR="0588E5BA" w:rsidRPr="0588E5BA">
        <w:rPr>
          <w:rFonts w:ascii="Times New Roman" w:eastAsia="Times New Roman" w:hAnsi="Times New Roman" w:cs="Times New Roman"/>
          <w:sz w:val="24"/>
          <w:szCs w:val="24"/>
        </w:rPr>
        <w:t xml:space="preserve"> grupių nugalėtojai ir prizininkai, bei komandos nugalėtojos ir prizininkės miestų ir rajonų ir kitų miestų  grupėse  bus apdovanojami </w:t>
      </w:r>
      <w:r w:rsidR="0588E5BA"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taurėmis.</w:t>
      </w:r>
    </w:p>
    <w:p w:rsidR="00CA4810" w:rsidRDefault="00CA4810" w:rsidP="0588E5BA">
      <w:pPr>
        <w:jc w:val="both"/>
      </w:pPr>
    </w:p>
    <w:p w:rsidR="00980604" w:rsidRDefault="0588E5BA" w:rsidP="0588E5B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Kroso es</w:t>
      </w:r>
      <w:r w:rsidR="00980604">
        <w:rPr>
          <w:rFonts w:ascii="Times New Roman" w:eastAsia="Times New Roman" w:hAnsi="Times New Roman" w:cs="Times New Roman"/>
          <w:b/>
          <w:bCs/>
          <w:sz w:val="24"/>
          <w:szCs w:val="24"/>
        </w:rPr>
        <w:t>tafetėje 4x500 m: mergaitė (2008 m ir jaun.) + berniukas (2008 m ir jaun.) + jaunutė (2006-2007 m.) + jaunutis (2006-2007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m.) komandų dalyviai nugalėtojai ir prizininkai apdovanojami medaliais ir atitinkamo laipsnio diplomais</w:t>
      </w:r>
    </w:p>
    <w:p w:rsidR="00CA5CC7" w:rsidRDefault="0588E5BA" w:rsidP="0588E5B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Kroso</w:t>
      </w:r>
      <w:r w:rsidR="00980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estafetėje 4x500 m: jaunė (2004-2005 m.) + jaunis (2004-2005 m.) + jaunuolė (2002-2003 m.) + jaunuolis (2002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00980604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m.) komandų dalyviai nugalėtojai ir prizininkai apdovanojami medaliais ir atitinkamo laipsnio diplomais</w:t>
      </w:r>
      <w:r w:rsidR="00CA5C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CA5CC7">
        <w:rPr>
          <w:rFonts w:ascii="Times New Roman" w:eastAsia="Times New Roman" w:hAnsi="Times New Roman" w:cs="Times New Roman"/>
          <w:b/>
          <w:bCs/>
          <w:sz w:val="24"/>
          <w:szCs w:val="24"/>
        </w:rPr>
        <w:t>Galutinėje 2021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Lietuvos kroso taurės etapų įskaitoje vaikų, jaunučių, jaunių, jaunimo ir suaugusiųjų  amžiaus grupių nugalėtojai ir prizininkai apdovanojami  maikutėmis.</w:t>
      </w:r>
    </w:p>
    <w:p w:rsidR="00CA4810" w:rsidRDefault="00CA4810"/>
    <w:p w:rsidR="00CA4810" w:rsidRDefault="0588E5BA"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VI. VARŽYBŲ FINANSAVIMAS</w:t>
      </w:r>
    </w:p>
    <w:p w:rsidR="00CA4810" w:rsidRDefault="0588E5BA" w:rsidP="0588E5BA">
      <w:pPr>
        <w:ind w:firstLine="851"/>
        <w:jc w:val="both"/>
      </w:pPr>
      <w:r w:rsidRPr="0588E5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Komandų ir sportininkų dalyvavimo varžybose išlaidas apmoka komandiruojančios organizacijos. </w:t>
      </w:r>
    </w:p>
    <w:p w:rsidR="00CA4810" w:rsidRDefault="00CA4810" w:rsidP="0588E5BA">
      <w:pPr>
        <w:jc w:val="both"/>
      </w:pPr>
    </w:p>
    <w:p w:rsidR="00254F20" w:rsidRDefault="00254F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F20" w:rsidRDefault="00254F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810" w:rsidRDefault="0588E5BA"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r w:rsidR="007C4BDC">
        <w:rPr>
          <w:rFonts w:ascii="Times New Roman" w:eastAsia="Times New Roman" w:hAnsi="Times New Roman" w:cs="Times New Roman"/>
          <w:b/>
          <w:bCs/>
          <w:sz w:val="24"/>
          <w:szCs w:val="24"/>
        </w:rPr>
        <w:t>PARTNERIAI</w:t>
      </w:r>
    </w:p>
    <w:p w:rsidR="00CA4810" w:rsidRDefault="0588E5BA" w:rsidP="0588E5BA">
      <w:pPr>
        <w:jc w:val="both"/>
      </w:pP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Lietuvos lengvosios atletikos federacija,  </w:t>
      </w:r>
      <w:r w:rsidR="00011F03"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Klaipėdos mie</w:t>
      </w:r>
      <w:r w:rsidR="00011F03">
        <w:rPr>
          <w:rFonts w:ascii="Times New Roman" w:eastAsia="Times New Roman" w:hAnsi="Times New Roman" w:cs="Times New Roman"/>
          <w:b/>
          <w:bCs/>
          <w:sz w:val="24"/>
          <w:szCs w:val="24"/>
        </w:rPr>
        <w:t>sto savivaldybė, ,,Hotel Vanagupė’’, NCBC verslo centras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11F03">
        <w:rPr>
          <w:rFonts w:ascii="Times New Roman" w:eastAsia="Times New Roman" w:hAnsi="Times New Roman" w:cs="Times New Roman"/>
          <w:b/>
          <w:bCs/>
          <w:sz w:val="24"/>
          <w:szCs w:val="24"/>
        </w:rPr>
        <w:t>SPORTLAND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11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Švietimo, mokslo ir sporto ministerija, </w:t>
      </w:r>
      <w:r w:rsidR="007C4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Palangos miesto sporto centras, </w:t>
      </w:r>
      <w:r w:rsidR="00011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LTOK, ,,Druskininkų ,,HERMIS’’, ,,COSMA METAL’’ , ,,4F’’, </w:t>
      </w:r>
      <w:r w:rsidR="00D82818">
        <w:rPr>
          <w:rFonts w:ascii="Times New Roman" w:eastAsia="Times New Roman" w:hAnsi="Times New Roman" w:cs="Times New Roman"/>
          <w:b/>
          <w:bCs/>
          <w:sz w:val="24"/>
          <w:szCs w:val="24"/>
        </w:rPr>
        <w:t>,,</w:t>
      </w:r>
      <w:r w:rsidR="00011F03">
        <w:rPr>
          <w:rFonts w:ascii="Times New Roman" w:eastAsia="Times New Roman" w:hAnsi="Times New Roman" w:cs="Times New Roman"/>
          <w:b/>
          <w:bCs/>
          <w:sz w:val="24"/>
          <w:szCs w:val="24"/>
        </w:rPr>
        <w:t>zoomtv.lt</w:t>
      </w:r>
      <w:r w:rsidR="00D82818">
        <w:rPr>
          <w:rFonts w:ascii="Times New Roman" w:eastAsia="Times New Roman" w:hAnsi="Times New Roman" w:cs="Times New Roman"/>
          <w:b/>
          <w:bCs/>
          <w:sz w:val="24"/>
          <w:szCs w:val="24"/>
        </w:rPr>
        <w:t>’’</w:t>
      </w:r>
      <w:r w:rsidR="00011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Lengvosios atletikos sporto klubas „Nikė“,</w:t>
      </w:r>
      <w:r w:rsidR="007C4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4BDC"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„Maistas Sportui“</w:t>
      </w:r>
      <w:r w:rsidR="007C4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Lietuvos didžiojo kunigaikščio </w:t>
      </w:r>
      <w:r w:rsidR="007C4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Butigeidžio dragūnų batalionas, </w:t>
      </w:r>
      <w:r w:rsidR="007C4BDC"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UAB „T&amp;A IDĖJA“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>, Klaipėdos miest</w:t>
      </w:r>
      <w:r w:rsidR="007C4BDC">
        <w:rPr>
          <w:rFonts w:ascii="Times New Roman" w:eastAsia="Times New Roman" w:hAnsi="Times New Roman" w:cs="Times New Roman"/>
          <w:b/>
          <w:bCs/>
          <w:sz w:val="24"/>
          <w:szCs w:val="24"/>
        </w:rPr>
        <w:t>o sporto bazių valdymo centras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„Joma“ , „MB imas ir KO“, </w:t>
      </w:r>
      <w:r w:rsidR="007C4BDC">
        <w:rPr>
          <w:rFonts w:ascii="Times New Roman" w:eastAsia="Times New Roman" w:hAnsi="Times New Roman" w:cs="Times New Roman"/>
          <w:b/>
          <w:bCs/>
          <w:sz w:val="24"/>
          <w:szCs w:val="24"/>
        </w:rPr>
        <w:t>„Arena Pizza“,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, UAB Ba</w:t>
      </w:r>
      <w:r w:rsidR="007C4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lticum TV, </w:t>
      </w:r>
      <w:r w:rsidR="00C643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,,Klaipėdos sportas‘‘, </w:t>
      </w:r>
      <w:r w:rsidR="007C4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Dienraštis „Vakarų ekspresas</w:t>
      </w:r>
      <w:r w:rsidR="009740B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588E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</w:p>
    <w:p w:rsidR="00CA4810" w:rsidRDefault="00CA4810" w:rsidP="0588E5BA">
      <w:pPr>
        <w:jc w:val="both"/>
      </w:pPr>
    </w:p>
    <w:p w:rsidR="00CA4810" w:rsidRDefault="00CA4810" w:rsidP="0588E5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810" w:rsidRDefault="00CA4810" w:rsidP="0588E5BA"/>
    <w:sectPr w:rsidR="00CA4810" w:rsidSect="00CA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2406CA"/>
    <w:rsid w:val="00011F03"/>
    <w:rsid w:val="00082E6E"/>
    <w:rsid w:val="000C38ED"/>
    <w:rsid w:val="00110835"/>
    <w:rsid w:val="001162E3"/>
    <w:rsid w:val="001343A0"/>
    <w:rsid w:val="00254F20"/>
    <w:rsid w:val="003552D8"/>
    <w:rsid w:val="00377C72"/>
    <w:rsid w:val="004A44BF"/>
    <w:rsid w:val="005E35F8"/>
    <w:rsid w:val="00603D18"/>
    <w:rsid w:val="00617373"/>
    <w:rsid w:val="0062137E"/>
    <w:rsid w:val="007C4BDC"/>
    <w:rsid w:val="009740B5"/>
    <w:rsid w:val="00980604"/>
    <w:rsid w:val="009B7A01"/>
    <w:rsid w:val="009E5855"/>
    <w:rsid w:val="00A45FC0"/>
    <w:rsid w:val="00AB2F5F"/>
    <w:rsid w:val="00B3134E"/>
    <w:rsid w:val="00BD6825"/>
    <w:rsid w:val="00C4380A"/>
    <w:rsid w:val="00C64378"/>
    <w:rsid w:val="00C75CEB"/>
    <w:rsid w:val="00C83611"/>
    <w:rsid w:val="00CA4810"/>
    <w:rsid w:val="00CA5CC7"/>
    <w:rsid w:val="00CD2757"/>
    <w:rsid w:val="00D82818"/>
    <w:rsid w:val="00D85A12"/>
    <w:rsid w:val="00DD48C2"/>
    <w:rsid w:val="0588E5BA"/>
    <w:rsid w:val="304EDE5F"/>
    <w:rsid w:val="4AA48862"/>
    <w:rsid w:val="4E221CB8"/>
    <w:rsid w:val="5E061143"/>
    <w:rsid w:val="6924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F3FC"/>
  <w15:docId w15:val="{BCDA6187-85A6-4A58-A5FE-B3091D4A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8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481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anas79@gmail.com" TargetMode="External"/><Relationship Id="rId4" Type="http://schemas.openxmlformats.org/officeDocument/2006/relationships/hyperlink" Target="mailto:drasutisbarkausk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Mindaugas</dc:creator>
  <cp:keywords/>
  <dc:description/>
  <cp:lastModifiedBy>Step</cp:lastModifiedBy>
  <cp:revision>2</cp:revision>
  <dcterms:created xsi:type="dcterms:W3CDTF">2021-10-27T04:57:00Z</dcterms:created>
  <dcterms:modified xsi:type="dcterms:W3CDTF">2021-10-27T04:57:00Z</dcterms:modified>
</cp:coreProperties>
</file>